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09"/>
        <w:tblW w:w="9133" w:type="dxa"/>
        <w:tblLook w:val="04A0" w:firstRow="1" w:lastRow="0" w:firstColumn="1" w:lastColumn="0" w:noHBand="0" w:noVBand="1"/>
      </w:tblPr>
      <w:tblGrid>
        <w:gridCol w:w="4289"/>
        <w:gridCol w:w="4844"/>
      </w:tblGrid>
      <w:tr w:rsidR="00A324B3" w:rsidRPr="00F130E3" w:rsidTr="00F46E1F">
        <w:trPr>
          <w:trHeight w:val="995"/>
        </w:trPr>
        <w:tc>
          <w:tcPr>
            <w:tcW w:w="4289" w:type="dxa"/>
          </w:tcPr>
          <w:p w:rsidR="00A324B3" w:rsidRPr="00F130E3" w:rsidRDefault="00A324B3" w:rsidP="00F46E1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СОГЛАСОВАНО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lang w:val="ru-RU"/>
              </w:rPr>
              <w:t>на заседании педагогического совета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Протокол №1 </w:t>
            </w:r>
            <w:proofErr w:type="gramStart"/>
            <w:r w:rsidRPr="00F130E3">
              <w:rPr>
                <w:rFonts w:ascii="Times New Roman" w:eastAsia="Calibri" w:hAnsi="Times New Roman" w:cs="Times New Roman"/>
                <w:lang w:val="ru-RU"/>
              </w:rPr>
              <w:t>от  30.08.20</w:t>
            </w:r>
            <w:r>
              <w:rPr>
                <w:rFonts w:ascii="Times New Roman" w:eastAsia="Calibri" w:hAnsi="Times New Roman" w:cs="Times New Roman"/>
                <w:lang w:val="ru-RU"/>
              </w:rPr>
              <w:t>22</w:t>
            </w:r>
            <w:proofErr w:type="gramEnd"/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 г.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44" w:type="dxa"/>
          </w:tcPr>
          <w:p w:rsidR="00A324B3" w:rsidRPr="00F130E3" w:rsidRDefault="00A324B3" w:rsidP="00F46E1F">
            <w:pPr>
              <w:spacing w:before="0" w:beforeAutospacing="0" w:after="200" w:afterAutospacing="0" w:line="276" w:lineRule="auto"/>
              <w:jc w:val="right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b/>
                <w:i/>
                <w:sz w:val="28"/>
                <w:lang w:val="ru-RU"/>
              </w:rPr>
              <w:t xml:space="preserve">            «</w:t>
            </w:r>
            <w:r w:rsidRPr="00F130E3">
              <w:rPr>
                <w:rFonts w:ascii="Times New Roman" w:eastAsia="Calibri" w:hAnsi="Times New Roman" w:cs="Times New Roman"/>
                <w:sz w:val="28"/>
                <w:lang w:val="ru-RU"/>
              </w:rPr>
              <w:t>УТВЕРЖДАЮ»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Директор МОАУ «ООШ №26 </w:t>
            </w:r>
            <w:proofErr w:type="spellStart"/>
            <w:r w:rsidRPr="00F130E3">
              <w:rPr>
                <w:rFonts w:ascii="Times New Roman" w:eastAsia="Calibri" w:hAnsi="Times New Roman" w:cs="Times New Roman"/>
                <w:lang w:val="ru-RU"/>
              </w:rPr>
              <w:t>г.Орска</w:t>
            </w:r>
            <w:proofErr w:type="spellEnd"/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»:  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___________</w:t>
            </w:r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130E3">
              <w:rPr>
                <w:rFonts w:ascii="Times New Roman" w:eastAsia="Calibri" w:hAnsi="Times New Roman" w:cs="Times New Roman"/>
                <w:lang w:val="ru-RU"/>
              </w:rPr>
              <w:t>Г.А.Ефимова</w:t>
            </w:r>
            <w:proofErr w:type="spellEnd"/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</w:t>
            </w:r>
          </w:p>
          <w:p w:rsidR="00A324B3" w:rsidRPr="00F130E3" w:rsidRDefault="00A324B3" w:rsidP="00F46E1F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F130E3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</w:t>
            </w:r>
          </w:p>
        </w:tc>
      </w:tr>
    </w:tbl>
    <w:p w:rsidR="001A5C1C" w:rsidRPr="00A324B3" w:rsidRDefault="00D72762" w:rsidP="00A324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proofErr w:type="gramEnd"/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1A5C1C" w:rsidRPr="00A324B3" w:rsidRDefault="00D727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A324B3">
        <w:rPr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324B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 xml:space="preserve"> МОАУ</w:t>
      </w:r>
      <w:proofErr w:type="gramEnd"/>
      <w:r w:rsidR="00AB3FA5">
        <w:rPr>
          <w:rFonts w:hAnsi="Times New Roman" w:cs="Times New Roman"/>
          <w:color w:val="000000"/>
          <w:sz w:val="24"/>
          <w:szCs w:val="24"/>
          <w:lang w:val="ru-RU"/>
        </w:rPr>
        <w:t xml:space="preserve"> “ООШ №26 </w:t>
      </w:r>
      <w:proofErr w:type="spellStart"/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B3FA5">
        <w:rPr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дителей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AB3FA5">
        <w:rPr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остранных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B3FA5" w:rsidRDefault="00D72762" w:rsidP="00A324B3">
      <w:pPr>
        <w:jc w:val="both"/>
        <w:rPr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B3FA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аммам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AB3FA5">
        <w:rPr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«Литература»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рограмм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CD3FA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324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1A5C1C" w:rsidRPr="00A324B3" w:rsidRDefault="00D72762" w:rsidP="00A324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324B3">
        <w:rPr>
          <w:lang w:val="ru-RU"/>
        </w:rPr>
        <w:br/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3415B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</w:t>
      </w:r>
      <w:bookmarkStart w:id="0" w:name="_GoBack"/>
      <w:bookmarkEnd w:id="0"/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3415B3">
        <w:rPr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324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A5C1C" w:rsidRPr="00A324B3" w:rsidSect="00AB3FA5">
      <w:pgSz w:w="11907" w:h="16839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762" w:rsidRDefault="00D72762" w:rsidP="00A324B3">
      <w:pPr>
        <w:spacing w:before="0" w:after="0"/>
      </w:pPr>
      <w:r>
        <w:separator/>
      </w:r>
    </w:p>
  </w:endnote>
  <w:endnote w:type="continuationSeparator" w:id="0">
    <w:p w:rsidR="00D72762" w:rsidRDefault="00D72762" w:rsidP="00A324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762" w:rsidRDefault="00D72762" w:rsidP="00A324B3">
      <w:pPr>
        <w:spacing w:before="0" w:after="0"/>
      </w:pPr>
      <w:r>
        <w:separator/>
      </w:r>
    </w:p>
  </w:footnote>
  <w:footnote w:type="continuationSeparator" w:id="0">
    <w:p w:rsidR="00D72762" w:rsidRDefault="00D72762" w:rsidP="00A324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A5C1C"/>
    <w:rsid w:val="00221E0B"/>
    <w:rsid w:val="002D33B1"/>
    <w:rsid w:val="002D3591"/>
    <w:rsid w:val="003415B3"/>
    <w:rsid w:val="003514A0"/>
    <w:rsid w:val="004F7E17"/>
    <w:rsid w:val="005A05CE"/>
    <w:rsid w:val="00653AF6"/>
    <w:rsid w:val="00A324B3"/>
    <w:rsid w:val="00AB3FA5"/>
    <w:rsid w:val="00B73A5A"/>
    <w:rsid w:val="00CD3FA6"/>
    <w:rsid w:val="00D7276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1C0A"/>
  <w15:docId w15:val="{27F45435-C693-467D-99B1-99693697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324B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324B3"/>
  </w:style>
  <w:style w:type="paragraph" w:styleId="a5">
    <w:name w:val="footer"/>
    <w:basedOn w:val="a"/>
    <w:link w:val="a6"/>
    <w:uiPriority w:val="99"/>
    <w:unhideWhenUsed/>
    <w:rsid w:val="00A324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3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gYQ4RKr2hK6v6w4xn7u/68hGXZiMgGhYpD4v4B7wdBc=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y1gl1tNq6u0T2bR/quNGX1GxG/FjM/9o9DCp0bY+IbY=</DigestValue>
    </Reference>
  </SignedInfo>
  <SignatureValue>gRTouasbdlWu+qZ3zdtZcOFugwbgU4pwddzsUDCmfXslZi/PPcRyTZ8Y/d4wDOFG
GOVY3cx1+19l02FG8Q3yUQ==</SignatureValue>
  <KeyInfo>
    <X509Data>
      <X509Certificate>MIIJCTCCCLagAwIBAgIKLipuswAAAAF7kzAKBggqhQMHAQEDAjCCAYsxGDAWBgUq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vtC8IjAeFw0yMTEyMTcwNDE2MzRaFw0yMjEyMTcwNDI2MzRaMIIB+zEVMBMGBSqF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0JzQuNC90LrQvtC80YHQstGP0LfRjCDQoNC+0YHRgdC40LiCCmexp7QAAAAABbsw
HQYDVR0OBBYEFIu6uxOQ4rGY1a5grVwURUJ/GWL2MAoGCCqFAwcBAQMCA0EAt/km
8fyA9/hK2UiWeeGTSHc3xL7ozOr//5RYVrBUrFy0kBAmsW/KVFAnv4MujiS9pcyn
WQMeCWKsF1SaIhpmNg==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m18p2dXFUwT4+qM3Q/EsHexLlzs=</DigestValue>
      </Reference>
      <Reference URI="/word/endnotes.xml?ContentType=application/vnd.openxmlformats-officedocument.wordprocessingml.endnotes+xml">
        <DigestMethod Algorithm="http://www.w3.org/2000/09/xmldsig#sha1"/>
        <DigestValue>0yhVnLGElbKmlEQwQDep94u7iC8=</DigestValue>
      </Reference>
      <Reference URI="/word/fontTable.xml?ContentType=application/vnd.openxmlformats-officedocument.wordprocessingml.fontTable+xml">
        <DigestMethod Algorithm="http://www.w3.org/2000/09/xmldsig#sha1"/>
        <DigestValue>xcJMlBlJERq82NKA2c/MysfNqrQ=</DigestValue>
      </Reference>
      <Reference URI="/word/footnotes.xml?ContentType=application/vnd.openxmlformats-officedocument.wordprocessingml.footnotes+xml">
        <DigestMethod Algorithm="http://www.w3.org/2000/09/xmldsig#sha1"/>
        <DigestValue>kOd2iud38pXGc71EXozignbId7U=</DigestValue>
      </Reference>
      <Reference URI="/word/settings.xml?ContentType=application/vnd.openxmlformats-officedocument.wordprocessingml.settings+xml">
        <DigestMethod Algorithm="http://www.w3.org/2000/09/xmldsig#sha1"/>
        <DigestValue>9QhPFEL9Xn+8OZeDUqdFVtdn4P8=</DigestValue>
      </Reference>
      <Reference URI="/word/styles.xml?ContentType=application/vnd.openxmlformats-officedocument.wordprocessingml.styles+xml">
        <DigestMethod Algorithm="http://www.w3.org/2000/09/xmldsig#sha1"/>
        <DigestValue>/X642vX8CRt61KRC0WjTKPMrGYI=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2022-10-28T09:16:10Z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2022-10-28T09:16:10Z</xd:SigningTime>
          <xd:SigningCertificate>
            <xd:Cert>
              <xd:CertDigest>
                <DigestMethod Algorithm="http://www.w3.org/2000/09/xmldsig#sha1"/>
                <DigestValue>dEKTeQDFAW7mY7MlBn/PCPHFG+k=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218011598182464484375443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dcterms:created xsi:type="dcterms:W3CDTF">2011-11-02T04:15:00Z</dcterms:created>
  <dcterms:modified xsi:type="dcterms:W3CDTF">2022-10-27T09:29:00Z</dcterms:modified>
</cp:coreProperties>
</file>